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许组文〔2018〕125号</w:t>
      </w:r>
    </w:p>
    <w:p>
      <w:pPr>
        <w:spacing w:line="720" w:lineRule="exact"/>
        <w:jc w:val="center"/>
        <w:rPr>
          <w:rFonts w:ascii="Times New Roman" w:hAnsi="Times New Roman" w:eastAsia="华文中宋"/>
          <w:b/>
          <w:bCs/>
          <w:sz w:val="40"/>
        </w:rPr>
      </w:pPr>
      <w:r>
        <w:rPr>
          <w:rFonts w:ascii="Times New Roman" w:hAnsi="Times New Roman" w:eastAsia="华文中宋"/>
          <w:b/>
          <w:bCs/>
          <w:sz w:val="40"/>
        </w:rPr>
        <w:t>关于推荐许昌市第十三批拔尖人才人选的通知</w:t>
      </w:r>
    </w:p>
    <w:p>
      <w:pPr>
        <w:spacing w:line="7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各县(市、区)委组织部, 市城乡一体化示范区、经济技术开发区、东城区党工委,市委各部委,市直和驻许有关单位党组（党委）：</w:t>
      </w:r>
    </w:p>
    <w:p>
      <w:pPr>
        <w:spacing w:line="600" w:lineRule="exact"/>
        <w:ind w:firstLine="62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深入贯彻党的十九大精神和习近平总书记人才工作重要思想，认真落实中央、省、市关于深化人才发展体制机制改革精神，加快实施人才强市、创新驱动战略，激发人才队伍生机与活力，进一步在全市营造识才爱才敬才用才的浓厚氛围，为全市创新发展、转型升级提供强有力的人才支撑和智力保证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 xml:space="preserve">按照《许昌市中长期人才发展规划及实施意见（2010—2020年）》（许发〔2010〕28号）、《许昌市拔尖人才选拔管理办法》（许办〔2015〕22号）的有关规定，拟在全市范围内评选第十三批拔尖人才。现将有关事宜通知如下： </w:t>
      </w:r>
    </w:p>
    <w:p>
      <w:pPr>
        <w:spacing w:line="600" w:lineRule="exact"/>
        <w:ind w:firstLine="62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一、推荐对象</w:t>
      </w:r>
    </w:p>
    <w:p>
      <w:pPr>
        <w:spacing w:line="600" w:lineRule="exact"/>
        <w:ind w:firstLine="62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市各行业各领域中的优秀人才，包括专业技术人才、企业经营管理人才、高技能人才、具有实用技术的农村致富带头人和社会工作者。户籍不在许昌，但在我市工作两年以上，为经济社会发展做出突出贡献的各类高层次人才、创新创业人才，也可参加市级拔尖人才选拔。党政机关（含参照公务员法管理单位）干部原则上不作为推荐对象。已享受“许昌英才计划”安家费、生活津贴等资金资助的第一至五类高层次人才（全职）可以参评，在人才待遇上按照就高不重复原则执行。</w:t>
      </w:r>
    </w:p>
    <w:p>
      <w:pPr>
        <w:spacing w:line="600" w:lineRule="exact"/>
        <w:ind w:firstLine="62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二、推荐条件</w:t>
      </w:r>
    </w:p>
    <w:p>
      <w:pPr>
        <w:spacing w:line="600" w:lineRule="exact"/>
        <w:ind w:firstLine="62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认真学习贯彻习近平新时代中国特色社会主义思想，坚决维护习近平总书记在党中央和全党的核心地位，坚决维护以习近平总书记为核心的党中央权威和集中统一领导，自觉弘扬实践爱国奋斗精神，不忘初心，牢记使命，增强“四个意识”，坚定“四个自信”；具有良好的职业道德，较强的专业知识、技术水平和管理经验，模范履行岗位职责，在本职工作岗位上艰苦奋斗，开拓创新，无私奉献，取得优异成绩和突出贡献；年龄在57周岁以下（截止2018年9月），且身体健康，能够正常履职尽责；在许昌工作两年及以上。除具备上述基本条件外，近5年来具有下列成绩之一的，可作为推荐参选对象：</w:t>
      </w:r>
    </w:p>
    <w:p>
      <w:pPr>
        <w:spacing w:line="600" w:lineRule="exact"/>
        <w:ind w:firstLine="617" w:firstLineChars="19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国家最高科学技术奖、自然科学奖、技术发明奖、科技进步奖、国际合作奖、社会科学奖获得者；省部级科技杰出贡献奖或科技进步奖、社会科学奖等二等奖以上获得者；两项以上省部级科技进步奖、社会科学奖等三等奖获得者；两项以上市科技进步奖、社会科学奖一等奖主要完成者；</w:t>
      </w:r>
    </w:p>
    <w:p>
      <w:pPr>
        <w:spacing w:line="600" w:lineRule="exact"/>
        <w:ind w:firstLine="617" w:firstLineChars="19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在开发、应用和推广新技术、新工艺、新产品的生产实践中解决重大疑难问题和关键性技术问题，并获得推荐条件第一条规定奖项的工程技术人员；在生产、运输和服务岗位一线从事技能工作，取得技术创新、工艺革新、成果转化等方面重大突破或作出突出贡献，并获得省级以上荣誉称号的技能人员；承担并完成省级以上重点工程项目、重点科研项目的主要技术负责人；省部级以上创新科技团队领军人物；有重大发明创造和技术发明成果，解决了经济建设和社会发展中的重大技术难题，形成具有自主知识产权和发明专利的技术或产品，并取得显著经济效益的拔尖人才；</w:t>
      </w:r>
    </w:p>
    <w:p>
      <w:pPr>
        <w:spacing w:line="600" w:lineRule="exact"/>
        <w:ind w:firstLine="617" w:firstLineChars="19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在教育、卫生、文化、体育、新闻、出版、金融、法律、服务等专业工作中造诣较深、成绩显著，在省内外有较高声誉并获得省部级以上荣誉称号的专业人员；在学术和理论研究上取得创造性成果，发表或出版的论文论著具有较高理论价值和较大社会影响，得到省内外同行公认，并获推荐条件第一条规定的有关社会科学奖或其他奖项者；</w:t>
      </w:r>
    </w:p>
    <w:p>
      <w:pPr>
        <w:spacing w:line="600" w:lineRule="exact"/>
        <w:ind w:firstLine="617" w:firstLineChars="19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4.在企、事业单位管理工作中有较强创新能力和较高管理水平，取得经济和社会效益保持全市同行业先进水平，并获得省部级以上荣誉称号的经营管理人员；</w:t>
      </w:r>
    </w:p>
    <w:p>
      <w:pPr>
        <w:spacing w:line="600" w:lineRule="exact"/>
        <w:ind w:firstLine="617" w:firstLineChars="19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5.在农业技术推广、农业产业化和在新农村建设中起模范带头作用，取得显著经济和社会效益，并获得省部级以上荣誉称号的农村实用人才；</w:t>
      </w:r>
    </w:p>
    <w:p>
      <w:pPr>
        <w:spacing w:line="600" w:lineRule="exact"/>
        <w:ind w:firstLine="617" w:firstLineChars="19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6.在社会工作领域取得突出成绩、作出重大贡献，并获得省部级以上荣誉称号的社会工作人才。</w:t>
      </w:r>
    </w:p>
    <w:p>
      <w:pPr>
        <w:spacing w:line="600" w:lineRule="exact"/>
        <w:ind w:firstLine="62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以上条件中，集体成果类项目只限报一名项目的主要承担者。同一科研成果或其他工作成绩分别受到奖励的，以最高奖励等级为准，成果时限不超过五年。当选第十二批市级拔尖人才使用过的成果及奖励，本次推荐时不再使用。</w:t>
      </w:r>
    </w:p>
    <w:p>
      <w:pPr>
        <w:spacing w:line="600" w:lineRule="exact"/>
        <w:ind w:firstLine="62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三、推荐程序</w:t>
      </w:r>
    </w:p>
    <w:p>
      <w:pPr>
        <w:spacing w:line="600" w:lineRule="exact"/>
        <w:ind w:firstLine="62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申报对象向所在单位党组织进行申报，无工作单位的直接向所在县（市、区）党委组织部（或组织人社局）进行申报；县（市、区）组织部门、市直主管部门或驻许单位党组（党委）审核把关后，研究确定推荐名单，将推荐报告、《许昌市第十三批拔尖人才推荐表》</w:t>
      </w:r>
      <w:r>
        <w:rPr>
          <w:rFonts w:hint="eastAsia" w:ascii="Times New Roman" w:hAnsi="Times New Roman" w:eastAsia="仿宋_GB2312"/>
          <w:sz w:val="32"/>
          <w:szCs w:val="32"/>
        </w:rPr>
        <w:t>（附件1）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《许昌市第十三批拔尖人才人选登记表》（附件2）、</w:t>
      </w:r>
      <w:r>
        <w:rPr>
          <w:rFonts w:ascii="Times New Roman" w:hAnsi="Times New Roman" w:eastAsia="仿宋_GB2312"/>
          <w:sz w:val="32"/>
          <w:szCs w:val="32"/>
        </w:rPr>
        <w:t>《许昌市第十三批拔尖人才</w:t>
      </w:r>
      <w:r>
        <w:rPr>
          <w:rFonts w:hint="eastAsia" w:ascii="Times New Roman" w:hAnsi="Times New Roman" w:eastAsia="仿宋_GB2312"/>
          <w:sz w:val="32"/>
          <w:szCs w:val="32"/>
        </w:rPr>
        <w:t>人选</w:t>
      </w:r>
      <w:r>
        <w:rPr>
          <w:rFonts w:ascii="Times New Roman" w:hAnsi="Times New Roman" w:eastAsia="仿宋_GB2312"/>
          <w:sz w:val="32"/>
          <w:szCs w:val="32"/>
        </w:rPr>
        <w:t>汇总表》</w:t>
      </w:r>
      <w:r>
        <w:rPr>
          <w:rFonts w:hint="eastAsia" w:ascii="Times New Roman" w:hAnsi="Times New Roman" w:eastAsia="仿宋_GB2312"/>
          <w:sz w:val="32"/>
          <w:szCs w:val="32"/>
        </w:rPr>
        <w:t>（附件3），申报对象获得的</w:t>
      </w:r>
      <w:r>
        <w:rPr>
          <w:rFonts w:ascii="Times New Roman" w:hAnsi="Times New Roman" w:eastAsia="仿宋_GB2312"/>
          <w:sz w:val="32"/>
          <w:szCs w:val="32"/>
        </w:rPr>
        <w:t>成果证书、荣誉证书原件及复印件，论文、著作，近5年工作总结等），一并报送市委组织部。</w:t>
      </w:r>
    </w:p>
    <w:p>
      <w:pPr>
        <w:pStyle w:val="2"/>
        <w:spacing w:after="0" w:line="600" w:lineRule="exact"/>
        <w:ind w:left="0" w:leftChars="0" w:firstLine="62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非公有制企业和社会组织按归属地申报推荐，驻许单位直接向市委组织部申报推荐。</w:t>
      </w:r>
    </w:p>
    <w:p>
      <w:pPr>
        <w:spacing w:line="600" w:lineRule="exact"/>
        <w:ind w:firstLine="62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四、申报材料</w:t>
      </w:r>
    </w:p>
    <w:p>
      <w:pPr>
        <w:spacing w:line="600" w:lineRule="exact"/>
        <w:ind w:firstLine="62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各县（市、区）、各单位推荐人选报送材料包括以下内容：</w:t>
      </w:r>
    </w:p>
    <w:p>
      <w:pPr>
        <w:spacing w:line="600" w:lineRule="exact"/>
        <w:ind w:firstLine="62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）推荐人选报送个人工作总结（一式3份。主要内容包括工作简历、政治表现、2013年以来取得的成绩、获奖情况、目前承担的主要工作、不足之处等，不超过3000字）、《许昌市第十三批拔尖人才推荐表》（一式3份）、《许昌市第十三批拔尖人才人选登记表》（一式15份）、《许昌市第十三批拔尖人才人选</w:t>
      </w:r>
      <w:r>
        <w:rPr>
          <w:rFonts w:hint="eastAsia" w:ascii="Times New Roman" w:hAnsi="Times New Roman" w:eastAsia="仿宋_GB2312"/>
          <w:sz w:val="32"/>
          <w:szCs w:val="32"/>
        </w:rPr>
        <w:t>汇总表</w:t>
      </w:r>
      <w:r>
        <w:rPr>
          <w:rFonts w:ascii="Times New Roman" w:hAnsi="Times New Roman" w:eastAsia="仿宋_GB2312"/>
          <w:sz w:val="32"/>
          <w:szCs w:val="32"/>
        </w:rPr>
        <w:t>》（EXCEL格式，一式3份）；以上材料均要报送电子版；</w:t>
      </w:r>
    </w:p>
    <w:p>
      <w:pPr>
        <w:spacing w:line="600" w:lineRule="exact"/>
        <w:ind w:firstLine="62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（2）县（市、区）委组织部、市直和驻许各单位党组（党委）的推荐报告（以文件形式，一式3份，确定排名顺序）；</w:t>
      </w:r>
    </w:p>
    <w:p>
      <w:pPr>
        <w:spacing w:line="600" w:lineRule="exact"/>
        <w:ind w:firstLine="62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3）证明材料（包括身份证，学历、学位证书，专业技术职务证书、职业资格等级证书等）；有关奖励证书和鉴定证书；有关著作的封面、目录及版权页；有关论文的刊物封面、目录、论文全文（各地各单位将推荐人选相应证明材料的复印件与原件核对无误后，在复印件上加盖公章连同原件一并上报）；</w:t>
      </w:r>
    </w:p>
    <w:p>
      <w:pPr>
        <w:spacing w:line="600" w:lineRule="exact"/>
        <w:ind w:firstLine="62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（4）企业经营管理人选材料，还包括由主管部门出具的近五年企业经济效益情况，以及税务、人社、环保、安全、审计等部门出具的有关证明材料</w:t>
      </w:r>
      <w:r>
        <w:rPr>
          <w:rFonts w:ascii="Times New Roman" w:hAnsi="Times New Roman" w:eastAsia="仿宋_GB2312"/>
          <w:sz w:val="32"/>
        </w:rPr>
        <w:t>。</w:t>
      </w:r>
    </w:p>
    <w:p>
      <w:pPr>
        <w:spacing w:line="600" w:lineRule="exact"/>
        <w:ind w:firstLine="62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以上材料使用word文字系统，A4纸打印，特别规定的除外。</w:t>
      </w:r>
    </w:p>
    <w:p>
      <w:pPr>
        <w:spacing w:line="600" w:lineRule="exact"/>
        <w:ind w:firstLine="62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五、待遇及管理</w:t>
      </w:r>
    </w:p>
    <w:p>
      <w:pPr>
        <w:spacing w:line="600" w:lineRule="exact"/>
        <w:ind w:firstLine="62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以市委、市政府名义发文命名表彰，授予“许昌市拔尖人才”证书，同等条件下优先支持申请科研立项、科研经费，优先推荐、参评市级及以上各类重大人才奖项、荣誉，享受每月300元的津贴（时间3年），其他待遇及管理按《许昌市拔尖人才选拔管理办法》（许办〔2015〕22号）的相关规定执行。</w:t>
      </w:r>
    </w:p>
    <w:p>
      <w:pPr>
        <w:spacing w:line="600" w:lineRule="exact"/>
        <w:ind w:firstLine="62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六、有关要求</w:t>
      </w:r>
    </w:p>
    <w:p>
      <w:pPr>
        <w:spacing w:line="600" w:lineRule="exact"/>
        <w:ind w:firstLine="62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1.要高度重视。</w:t>
      </w:r>
      <w:r>
        <w:rPr>
          <w:rFonts w:ascii="Times New Roman" w:hAnsi="Times New Roman" w:eastAsia="仿宋_GB2312"/>
          <w:sz w:val="32"/>
          <w:szCs w:val="32"/>
        </w:rPr>
        <w:t>评选市级拔尖人才是市委、市政府深入实施人才强市战略，加强全市高层次人才队伍建设的一项重要举措，对于激发各类人才创新创业热情、促进我市经济社会又好又快发展具有重要意义。第十三批市级拔尖人才评选工作在市人才工作领导小组的领导下，由市委组织部（市人才办）具体负责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各县（市、区）及市直各单位要高度重视，加强领导，明确专人负责。</w:t>
      </w:r>
    </w:p>
    <w:p>
      <w:pPr>
        <w:spacing w:line="600" w:lineRule="exact"/>
        <w:ind w:firstLine="62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楷体_GB2312" w:hAnsi="黑体" w:eastAsia="楷体_GB2312"/>
          <w:b/>
          <w:sz w:val="32"/>
          <w:szCs w:val="32"/>
        </w:rPr>
        <w:t>2.要精心组织。</w:t>
      </w:r>
      <w:r>
        <w:rPr>
          <w:rFonts w:ascii="Times New Roman" w:hAnsi="Times New Roman" w:eastAsia="仿宋_GB2312"/>
          <w:sz w:val="32"/>
        </w:rPr>
        <w:t>各地、各单位要本着对事业、对人才负责的态度，切实加大宣传力度，正确进行引导，认真细致开展调查摸排，按照公开、公正和优中选优的原则，严格按照条件推荐人选，真正把优秀人才推荐上来</w:t>
      </w:r>
      <w:r>
        <w:rPr>
          <w:rFonts w:hint="eastAsia" w:ascii="Times New Roman" w:hAnsi="Times New Roman" w:eastAsia="仿宋_GB2312"/>
          <w:sz w:val="32"/>
        </w:rPr>
        <w:t>。</w:t>
      </w:r>
      <w:r>
        <w:rPr>
          <w:rFonts w:ascii="Times New Roman" w:hAnsi="Times New Roman" w:eastAsia="仿宋_GB2312"/>
          <w:sz w:val="32"/>
        </w:rPr>
        <w:t>在确保人选质量的前提下，注意推荐长期在一线工作、贡献突出的优秀人才以及有发展潜力的青年人才，注意推荐非公有制经济组织及社会组织中的优秀人才。严格控制领导干部申报比例。</w:t>
      </w:r>
    </w:p>
    <w:p>
      <w:pPr>
        <w:spacing w:line="600" w:lineRule="exact"/>
        <w:ind w:firstLine="62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楷体_GB2312" w:hAnsi="黑体" w:eastAsia="楷体_GB2312"/>
          <w:b/>
          <w:sz w:val="32"/>
          <w:szCs w:val="32"/>
        </w:rPr>
        <w:t>3.要严肃纪律。</w:t>
      </w:r>
      <w:r>
        <w:rPr>
          <w:rFonts w:ascii="Times New Roman" w:hAnsi="Times New Roman" w:eastAsia="仿宋_GB2312"/>
          <w:sz w:val="32"/>
          <w:szCs w:val="32"/>
        </w:rPr>
        <w:t>各地、各单位</w:t>
      </w:r>
      <w:r>
        <w:rPr>
          <w:rFonts w:ascii="Times New Roman" w:hAnsi="Times New Roman" w:eastAsia="仿宋_GB2312"/>
          <w:sz w:val="32"/>
        </w:rPr>
        <w:t>对上报的人选材料要认真审核，严格把关，保证真实、准确、客观</w:t>
      </w:r>
      <w:r>
        <w:rPr>
          <w:rFonts w:hint="eastAsia" w:ascii="Times New Roman" w:hAnsi="Times New Roman" w:eastAsia="仿宋_GB2312"/>
          <w:sz w:val="32"/>
        </w:rPr>
        <w:t>，</w:t>
      </w:r>
      <w:r>
        <w:rPr>
          <w:rFonts w:ascii="Times New Roman" w:hAnsi="Times New Roman" w:eastAsia="仿宋_GB2312"/>
          <w:sz w:val="32"/>
        </w:rPr>
        <w:t>对于弄虚作假、谎报成果的，一经查实取消其参评拔尖人才的终身资格，并追究经办人员和有关领导的责任。</w:t>
      </w:r>
    </w:p>
    <w:p>
      <w:pPr>
        <w:spacing w:line="600" w:lineRule="exact"/>
        <w:ind w:firstLine="620" w:firstLineChars="200"/>
        <w:rPr>
          <w:rFonts w:ascii="Times New Roman" w:hAnsi="Times New Roman" w:eastAsia="仿宋_GB2312"/>
          <w:sz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</w:rPr>
      </w:pPr>
    </w:p>
    <w:p>
      <w:pPr>
        <w:spacing w:line="600" w:lineRule="exact"/>
        <w:ind w:firstLine="5270" w:firstLineChars="17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中共许昌市委组织部</w:t>
      </w:r>
    </w:p>
    <w:p>
      <w:pPr>
        <w:spacing w:line="600" w:lineRule="exact"/>
        <w:ind w:firstLine="5546" w:firstLineChars="1789"/>
        <w:rPr>
          <w:rFonts w:ascii="Times New Roman" w:hAnsi="Times New Roman" w:eastAsia="仿宋_GB2312"/>
          <w:sz w:val="32"/>
        </w:rPr>
      </w:pPr>
      <w:bookmarkStart w:id="0" w:name="_GoBack"/>
      <w:bookmarkEnd w:id="0"/>
      <w:r>
        <w:rPr>
          <w:rFonts w:ascii="Times New Roman" w:hAnsi="Times New Roman" w:eastAsia="仿宋_GB2312"/>
          <w:sz w:val="32"/>
        </w:rPr>
        <w:t>2018年10月</w:t>
      </w:r>
      <w:r>
        <w:rPr>
          <w:rFonts w:hint="eastAsia" w:ascii="Times New Roman" w:hAnsi="Times New Roman" w:eastAsia="仿宋_GB2312"/>
          <w:sz w:val="32"/>
        </w:rPr>
        <w:t>12</w:t>
      </w:r>
      <w:r>
        <w:rPr>
          <w:rFonts w:ascii="Times New Roman" w:hAnsi="Times New Roman" w:eastAsia="仿宋_GB2312"/>
          <w:sz w:val="32"/>
        </w:rPr>
        <w:t>日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701" w:bottom="1701" w:left="1701" w:header="851" w:footer="992" w:gutter="0"/>
      <w:cols w:space="720" w:num="1"/>
      <w:docGrid w:type="linesAndChars" w:linePitch="304" w:charSpace="-2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86D"/>
    <w:rsid w:val="00013376"/>
    <w:rsid w:val="00041DA6"/>
    <w:rsid w:val="00044712"/>
    <w:rsid w:val="00051D24"/>
    <w:rsid w:val="00065E3F"/>
    <w:rsid w:val="00077087"/>
    <w:rsid w:val="000F656F"/>
    <w:rsid w:val="00105526"/>
    <w:rsid w:val="001333B2"/>
    <w:rsid w:val="0016632B"/>
    <w:rsid w:val="00180B92"/>
    <w:rsid w:val="00184048"/>
    <w:rsid w:val="00186300"/>
    <w:rsid w:val="001937FD"/>
    <w:rsid w:val="001A32DA"/>
    <w:rsid w:val="001A6EC9"/>
    <w:rsid w:val="001B1BE7"/>
    <w:rsid w:val="001B2D1E"/>
    <w:rsid w:val="001B7DA3"/>
    <w:rsid w:val="001C6DCA"/>
    <w:rsid w:val="001F3CD4"/>
    <w:rsid w:val="0020183D"/>
    <w:rsid w:val="0020786D"/>
    <w:rsid w:val="00221B8E"/>
    <w:rsid w:val="0024431C"/>
    <w:rsid w:val="00293248"/>
    <w:rsid w:val="002978FE"/>
    <w:rsid w:val="002A3AC4"/>
    <w:rsid w:val="002C3B6D"/>
    <w:rsid w:val="002C661A"/>
    <w:rsid w:val="002E115B"/>
    <w:rsid w:val="002E2DCC"/>
    <w:rsid w:val="002F789B"/>
    <w:rsid w:val="003262FC"/>
    <w:rsid w:val="0032654D"/>
    <w:rsid w:val="00326D61"/>
    <w:rsid w:val="0033060B"/>
    <w:rsid w:val="003405F1"/>
    <w:rsid w:val="003578F7"/>
    <w:rsid w:val="003605B3"/>
    <w:rsid w:val="00397DA6"/>
    <w:rsid w:val="003B4B8C"/>
    <w:rsid w:val="003B4FDB"/>
    <w:rsid w:val="003C1C4C"/>
    <w:rsid w:val="003D3626"/>
    <w:rsid w:val="0041711F"/>
    <w:rsid w:val="00422C4A"/>
    <w:rsid w:val="004362AB"/>
    <w:rsid w:val="004415B4"/>
    <w:rsid w:val="00446511"/>
    <w:rsid w:val="00453908"/>
    <w:rsid w:val="004810E6"/>
    <w:rsid w:val="004B2F11"/>
    <w:rsid w:val="004C6AB6"/>
    <w:rsid w:val="004D6AE6"/>
    <w:rsid w:val="004E2E47"/>
    <w:rsid w:val="00500CA6"/>
    <w:rsid w:val="00503E07"/>
    <w:rsid w:val="00506555"/>
    <w:rsid w:val="00511046"/>
    <w:rsid w:val="00513640"/>
    <w:rsid w:val="00526D04"/>
    <w:rsid w:val="00527784"/>
    <w:rsid w:val="0053155B"/>
    <w:rsid w:val="00554716"/>
    <w:rsid w:val="00570E2B"/>
    <w:rsid w:val="005724C2"/>
    <w:rsid w:val="00587551"/>
    <w:rsid w:val="005A24B8"/>
    <w:rsid w:val="005A70D8"/>
    <w:rsid w:val="005D04FB"/>
    <w:rsid w:val="005D1AFE"/>
    <w:rsid w:val="005D5D80"/>
    <w:rsid w:val="00620949"/>
    <w:rsid w:val="0064531B"/>
    <w:rsid w:val="006A6332"/>
    <w:rsid w:val="006B4822"/>
    <w:rsid w:val="006C0707"/>
    <w:rsid w:val="006C4491"/>
    <w:rsid w:val="006D4392"/>
    <w:rsid w:val="007010AF"/>
    <w:rsid w:val="00702D15"/>
    <w:rsid w:val="00725D84"/>
    <w:rsid w:val="007676E0"/>
    <w:rsid w:val="0077356A"/>
    <w:rsid w:val="0077483C"/>
    <w:rsid w:val="00792017"/>
    <w:rsid w:val="007E4CAB"/>
    <w:rsid w:val="007F7332"/>
    <w:rsid w:val="00831A25"/>
    <w:rsid w:val="00846A42"/>
    <w:rsid w:val="00874B23"/>
    <w:rsid w:val="0088416B"/>
    <w:rsid w:val="008A48A9"/>
    <w:rsid w:val="008C3195"/>
    <w:rsid w:val="00900502"/>
    <w:rsid w:val="00907E31"/>
    <w:rsid w:val="00913D99"/>
    <w:rsid w:val="00925B06"/>
    <w:rsid w:val="00925FD4"/>
    <w:rsid w:val="00931638"/>
    <w:rsid w:val="00936DB8"/>
    <w:rsid w:val="00943B07"/>
    <w:rsid w:val="00967349"/>
    <w:rsid w:val="00975794"/>
    <w:rsid w:val="009A3E7D"/>
    <w:rsid w:val="009A64C6"/>
    <w:rsid w:val="009C099E"/>
    <w:rsid w:val="009D6925"/>
    <w:rsid w:val="009E4B56"/>
    <w:rsid w:val="009F302F"/>
    <w:rsid w:val="009F7225"/>
    <w:rsid w:val="00A146B1"/>
    <w:rsid w:val="00A153BB"/>
    <w:rsid w:val="00A16CAA"/>
    <w:rsid w:val="00A25402"/>
    <w:rsid w:val="00A917CD"/>
    <w:rsid w:val="00AA14D0"/>
    <w:rsid w:val="00AA6A0A"/>
    <w:rsid w:val="00AB210F"/>
    <w:rsid w:val="00AB2665"/>
    <w:rsid w:val="00B07501"/>
    <w:rsid w:val="00B76E5A"/>
    <w:rsid w:val="00B77204"/>
    <w:rsid w:val="00B92A65"/>
    <w:rsid w:val="00BA2CD9"/>
    <w:rsid w:val="00BA39F1"/>
    <w:rsid w:val="00BB7213"/>
    <w:rsid w:val="00BD108A"/>
    <w:rsid w:val="00BE16B5"/>
    <w:rsid w:val="00BE2EC1"/>
    <w:rsid w:val="00BE347E"/>
    <w:rsid w:val="00BF024E"/>
    <w:rsid w:val="00C0272E"/>
    <w:rsid w:val="00C04104"/>
    <w:rsid w:val="00C24FA4"/>
    <w:rsid w:val="00C44959"/>
    <w:rsid w:val="00C44F3A"/>
    <w:rsid w:val="00C463E7"/>
    <w:rsid w:val="00C52108"/>
    <w:rsid w:val="00C601C8"/>
    <w:rsid w:val="00C96549"/>
    <w:rsid w:val="00C97C99"/>
    <w:rsid w:val="00CC6D3B"/>
    <w:rsid w:val="00CD0312"/>
    <w:rsid w:val="00CD72DE"/>
    <w:rsid w:val="00CE1261"/>
    <w:rsid w:val="00CF556D"/>
    <w:rsid w:val="00CF6470"/>
    <w:rsid w:val="00D049CF"/>
    <w:rsid w:val="00D461E6"/>
    <w:rsid w:val="00D77570"/>
    <w:rsid w:val="00D96006"/>
    <w:rsid w:val="00DA44C0"/>
    <w:rsid w:val="00DA70ED"/>
    <w:rsid w:val="00DB7D96"/>
    <w:rsid w:val="00DC0D7E"/>
    <w:rsid w:val="00DE3E5B"/>
    <w:rsid w:val="00DF3679"/>
    <w:rsid w:val="00DF7D18"/>
    <w:rsid w:val="00E05B76"/>
    <w:rsid w:val="00E2213F"/>
    <w:rsid w:val="00E43698"/>
    <w:rsid w:val="00E438DC"/>
    <w:rsid w:val="00E56A31"/>
    <w:rsid w:val="00E746D0"/>
    <w:rsid w:val="00E773C4"/>
    <w:rsid w:val="00E85A8C"/>
    <w:rsid w:val="00E9314E"/>
    <w:rsid w:val="00EA0EBE"/>
    <w:rsid w:val="00EB13F4"/>
    <w:rsid w:val="00EB4E3F"/>
    <w:rsid w:val="00EB6443"/>
    <w:rsid w:val="00ED7314"/>
    <w:rsid w:val="00ED7AB3"/>
    <w:rsid w:val="00EF3A50"/>
    <w:rsid w:val="00EF7CE8"/>
    <w:rsid w:val="00F02D5E"/>
    <w:rsid w:val="00F032B8"/>
    <w:rsid w:val="00F0342D"/>
    <w:rsid w:val="00F32A53"/>
    <w:rsid w:val="00F41BF4"/>
    <w:rsid w:val="00F44A7D"/>
    <w:rsid w:val="00F57237"/>
    <w:rsid w:val="00F81742"/>
    <w:rsid w:val="00F84D8A"/>
    <w:rsid w:val="00FB6115"/>
    <w:rsid w:val="00FB7DD5"/>
    <w:rsid w:val="00FC1FFE"/>
    <w:rsid w:val="00FC2996"/>
    <w:rsid w:val="26512B99"/>
    <w:rsid w:val="3EBF4DF9"/>
    <w:rsid w:val="49DD2842"/>
    <w:rsid w:val="4BFD6F4B"/>
    <w:rsid w:val="7A33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493</Words>
  <Characters>2812</Characters>
  <Lines>23</Lines>
  <Paragraphs>6</Paragraphs>
  <TotalTime>123</TotalTime>
  <ScaleCrop>false</ScaleCrop>
  <LinksUpToDate>false</LinksUpToDate>
  <CharactersWithSpaces>3299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2018-10-11T00:18:00Z</dcterms:created>
  <dc:creator>User</dc:creator>
  <cp:lastModifiedBy>不靠谱1411181681</cp:lastModifiedBy>
  <cp:lastPrinted>2018-10-12T01:17:00Z</cp:lastPrinted>
  <dcterms:modified xsi:type="dcterms:W3CDTF">2018-10-24T07:27:20Z</dcterms:modified>
  <dc:title>关于评选许昌市第十一批专业技术拔尖人才的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